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2DE0" w14:textId="77777777" w:rsidR="009E4379" w:rsidRPr="00AF3936" w:rsidRDefault="00000000">
      <w:pPr>
        <w:pStyle w:val="Ttulo1"/>
        <w:ind w:left="0" w:right="49"/>
        <w:jc w:val="center"/>
      </w:pPr>
      <w:r w:rsidRPr="00AF3936">
        <w:rPr>
          <w:u w:val="single"/>
        </w:rPr>
        <w:t>ACUERDO DE REQUERIMIENTO</w:t>
      </w:r>
    </w:p>
    <w:p w14:paraId="18459816" w14:textId="77777777" w:rsidR="009E4379" w:rsidRPr="00AF3936" w:rsidRDefault="009E43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E83B54" w14:textId="77777777" w:rsidR="009E4379" w:rsidRPr="00AF3936" w:rsidRDefault="009E43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838D19B" w14:textId="77777777" w:rsidR="009E4379" w:rsidRPr="00AF3936" w:rsidRDefault="00000000" w:rsidP="00AF3936">
      <w:pPr>
        <w:tabs>
          <w:tab w:val="left" w:pos="5387"/>
          <w:tab w:val="left" w:pos="5529"/>
        </w:tabs>
        <w:spacing w:after="0"/>
        <w:ind w:left="4111" w:right="49"/>
        <w:jc w:val="both"/>
        <w:rPr>
          <w:rFonts w:ascii="Arial" w:eastAsia="Arial" w:hAnsi="Arial" w:cs="Arial"/>
          <w:b/>
          <w:sz w:val="24"/>
          <w:szCs w:val="24"/>
        </w:rPr>
      </w:pPr>
      <w:r w:rsidRPr="00AF3936">
        <w:rPr>
          <w:rFonts w:ascii="Arial" w:eastAsia="Arial" w:hAnsi="Arial" w:cs="Arial"/>
          <w:b/>
          <w:sz w:val="24"/>
          <w:szCs w:val="24"/>
        </w:rPr>
        <w:t>RECURSO DE APELACIÓN.</w:t>
      </w:r>
    </w:p>
    <w:p w14:paraId="26CDFF6D" w14:textId="77777777" w:rsidR="009E4379" w:rsidRPr="00AF3936" w:rsidRDefault="009E4379" w:rsidP="00AF39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5529"/>
        </w:tabs>
        <w:spacing w:after="0" w:line="240" w:lineRule="auto"/>
        <w:ind w:left="4111" w:right="49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7CCC373" w14:textId="20E1454D" w:rsidR="009E4379" w:rsidRPr="00AF3936" w:rsidRDefault="00000000" w:rsidP="00AF3936">
      <w:pPr>
        <w:tabs>
          <w:tab w:val="left" w:pos="5387"/>
          <w:tab w:val="left" w:pos="5529"/>
        </w:tabs>
        <w:spacing w:after="0"/>
        <w:ind w:left="4111" w:right="49"/>
        <w:jc w:val="both"/>
        <w:rPr>
          <w:rFonts w:ascii="Arial" w:eastAsia="Arial" w:hAnsi="Arial" w:cs="Arial"/>
          <w:sz w:val="24"/>
          <w:szCs w:val="24"/>
        </w:rPr>
      </w:pPr>
      <w:r w:rsidRPr="00AF3936">
        <w:rPr>
          <w:rFonts w:ascii="Arial" w:eastAsia="Arial" w:hAnsi="Arial" w:cs="Arial"/>
          <w:b/>
          <w:sz w:val="24"/>
          <w:szCs w:val="24"/>
        </w:rPr>
        <w:t>EXPEDIENTE:</w:t>
      </w:r>
      <w:r w:rsidR="00AF3936">
        <w:rPr>
          <w:rFonts w:ascii="Arial" w:eastAsia="Arial" w:hAnsi="Arial" w:cs="Arial"/>
          <w:b/>
          <w:sz w:val="24"/>
          <w:szCs w:val="24"/>
        </w:rPr>
        <w:t xml:space="preserve"> </w:t>
      </w:r>
      <w:r w:rsidRPr="00AF3936">
        <w:rPr>
          <w:rFonts w:ascii="Arial" w:eastAsia="Arial" w:hAnsi="Arial" w:cs="Arial"/>
          <w:sz w:val="24"/>
          <w:szCs w:val="24"/>
        </w:rPr>
        <w:t>TEEA-RAP-009/2024.</w:t>
      </w:r>
    </w:p>
    <w:p w14:paraId="1572FE3A" w14:textId="77777777" w:rsidR="009E4379" w:rsidRPr="00AF3936" w:rsidRDefault="009E4379" w:rsidP="00AF39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5529"/>
        </w:tabs>
        <w:spacing w:after="0" w:line="240" w:lineRule="auto"/>
        <w:ind w:left="4111" w:right="49"/>
        <w:rPr>
          <w:rFonts w:ascii="Arial" w:eastAsia="Arial" w:hAnsi="Arial" w:cs="Arial"/>
          <w:color w:val="000000"/>
          <w:sz w:val="24"/>
          <w:szCs w:val="24"/>
        </w:rPr>
      </w:pPr>
    </w:p>
    <w:p w14:paraId="778FBCAD" w14:textId="77777777" w:rsidR="009E4379" w:rsidRPr="00AF3936" w:rsidRDefault="00000000" w:rsidP="00AF3936">
      <w:pPr>
        <w:tabs>
          <w:tab w:val="left" w:pos="5387"/>
          <w:tab w:val="left" w:pos="5529"/>
        </w:tabs>
        <w:spacing w:after="0"/>
        <w:ind w:left="4111" w:right="49"/>
        <w:jc w:val="both"/>
        <w:rPr>
          <w:rFonts w:ascii="Arial" w:eastAsia="Arial" w:hAnsi="Arial" w:cs="Arial"/>
          <w:sz w:val="24"/>
          <w:szCs w:val="24"/>
        </w:rPr>
      </w:pPr>
      <w:r w:rsidRPr="00AF3936">
        <w:rPr>
          <w:rFonts w:ascii="Arial" w:eastAsia="Arial" w:hAnsi="Arial" w:cs="Arial"/>
          <w:b/>
          <w:sz w:val="24"/>
          <w:szCs w:val="24"/>
        </w:rPr>
        <w:t xml:space="preserve">RECURRENTE: </w:t>
      </w:r>
      <w:r w:rsidRPr="00AF3936">
        <w:rPr>
          <w:rFonts w:ascii="Arial" w:eastAsia="Arial" w:hAnsi="Arial" w:cs="Arial"/>
          <w:sz w:val="24"/>
          <w:szCs w:val="24"/>
        </w:rPr>
        <w:t>PARTIDO ACCIÓN NACIONAL.</w:t>
      </w:r>
    </w:p>
    <w:p w14:paraId="60462F3C" w14:textId="77777777" w:rsidR="009E4379" w:rsidRPr="00AF3936" w:rsidRDefault="009E4379" w:rsidP="00AF39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5529"/>
        </w:tabs>
        <w:spacing w:after="0" w:line="240" w:lineRule="auto"/>
        <w:ind w:left="4111" w:right="49"/>
        <w:rPr>
          <w:rFonts w:ascii="Arial" w:eastAsia="Arial" w:hAnsi="Arial" w:cs="Arial"/>
          <w:color w:val="000000"/>
          <w:sz w:val="24"/>
          <w:szCs w:val="24"/>
        </w:rPr>
      </w:pPr>
    </w:p>
    <w:p w14:paraId="7F8EEA55" w14:textId="2C98DDC2" w:rsidR="009E4379" w:rsidRPr="00AF3936" w:rsidRDefault="00000000" w:rsidP="00AF3936">
      <w:pPr>
        <w:tabs>
          <w:tab w:val="left" w:pos="5387"/>
          <w:tab w:val="left" w:pos="5529"/>
          <w:tab w:val="left" w:pos="6914"/>
        </w:tabs>
        <w:spacing w:after="0"/>
        <w:ind w:left="4111" w:right="49"/>
        <w:jc w:val="both"/>
        <w:rPr>
          <w:rFonts w:ascii="Arial" w:eastAsia="Arial" w:hAnsi="Arial" w:cs="Arial"/>
          <w:sz w:val="24"/>
          <w:szCs w:val="24"/>
        </w:rPr>
      </w:pPr>
      <w:r w:rsidRPr="00AF3936">
        <w:rPr>
          <w:rFonts w:ascii="Arial" w:eastAsia="Arial" w:hAnsi="Arial" w:cs="Arial"/>
          <w:b/>
          <w:sz w:val="24"/>
          <w:szCs w:val="24"/>
        </w:rPr>
        <w:t>AUTORIDAD</w:t>
      </w:r>
      <w:r w:rsidR="00AF3936">
        <w:rPr>
          <w:rFonts w:ascii="Arial" w:eastAsia="Arial" w:hAnsi="Arial" w:cs="Arial"/>
          <w:b/>
          <w:sz w:val="24"/>
          <w:szCs w:val="24"/>
        </w:rPr>
        <w:t xml:space="preserve"> </w:t>
      </w:r>
      <w:r w:rsidRPr="00AF3936">
        <w:rPr>
          <w:rFonts w:ascii="Arial" w:eastAsia="Arial" w:hAnsi="Arial" w:cs="Arial"/>
          <w:b/>
          <w:sz w:val="24"/>
          <w:szCs w:val="24"/>
        </w:rPr>
        <w:t xml:space="preserve">RESPONSABLE: </w:t>
      </w:r>
      <w:r w:rsidRPr="00AF3936">
        <w:rPr>
          <w:rFonts w:ascii="Arial" w:eastAsia="Arial" w:hAnsi="Arial" w:cs="Arial"/>
          <w:sz w:val="24"/>
          <w:szCs w:val="24"/>
        </w:rPr>
        <w:t>CONSEJO GENERAL DEL INSTITUTO ESTATAL ELECTORAL DE AGUASCALIENTES.</w:t>
      </w:r>
    </w:p>
    <w:p w14:paraId="28C0C168" w14:textId="77777777" w:rsidR="009E4379" w:rsidRPr="00AF3936" w:rsidRDefault="009E43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after="0" w:line="240" w:lineRule="auto"/>
        <w:ind w:right="49"/>
        <w:rPr>
          <w:rFonts w:ascii="Arial" w:eastAsia="Arial" w:hAnsi="Arial" w:cs="Arial"/>
          <w:color w:val="000000"/>
          <w:sz w:val="24"/>
          <w:szCs w:val="24"/>
        </w:rPr>
      </w:pPr>
    </w:p>
    <w:p w14:paraId="05C87672" w14:textId="77777777" w:rsidR="009E4379" w:rsidRPr="00AF393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49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AF3936">
        <w:rPr>
          <w:rFonts w:ascii="Arial" w:eastAsia="Arial" w:hAnsi="Arial" w:cs="Arial"/>
          <w:color w:val="000000"/>
          <w:sz w:val="24"/>
          <w:szCs w:val="24"/>
        </w:rPr>
        <w:t>Aguascalientes, Aguascalientes, a diecisiete de abril de dos mil veinticuatro.</w:t>
      </w:r>
    </w:p>
    <w:p w14:paraId="7674A7B6" w14:textId="77777777" w:rsidR="009E4379" w:rsidRPr="00AF3936" w:rsidRDefault="009E43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after="0" w:line="240" w:lineRule="auto"/>
        <w:ind w:right="49"/>
        <w:rPr>
          <w:rFonts w:ascii="Arial" w:eastAsia="Arial" w:hAnsi="Arial" w:cs="Arial"/>
          <w:color w:val="000000"/>
          <w:sz w:val="24"/>
          <w:szCs w:val="24"/>
        </w:rPr>
      </w:pPr>
    </w:p>
    <w:p w14:paraId="7452E913" w14:textId="77777777" w:rsidR="009E4379" w:rsidRPr="00AF393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9"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F3936"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proofErr w:type="gramStart"/>
      <w:r w:rsidRPr="00AF3936">
        <w:rPr>
          <w:rFonts w:ascii="Arial" w:eastAsia="Arial" w:hAnsi="Arial" w:cs="Arial"/>
          <w:color w:val="000000"/>
          <w:sz w:val="24"/>
          <w:szCs w:val="24"/>
        </w:rPr>
        <w:t>Secretaria</w:t>
      </w:r>
      <w:proofErr w:type="gramEnd"/>
      <w:r w:rsidRPr="00AF3936">
        <w:rPr>
          <w:rFonts w:ascii="Arial" w:eastAsia="Arial" w:hAnsi="Arial" w:cs="Arial"/>
          <w:color w:val="000000"/>
          <w:sz w:val="24"/>
          <w:szCs w:val="24"/>
        </w:rPr>
        <w:t xml:space="preserve"> de Estudio,</w:t>
      </w:r>
      <w:r w:rsidRPr="00AF3936">
        <w:rPr>
          <w:rFonts w:ascii="Arial" w:eastAsia="Arial" w:hAnsi="Arial" w:cs="Arial"/>
          <w:color w:val="000000"/>
          <w:sz w:val="24"/>
          <w:szCs w:val="24"/>
          <w:vertAlign w:val="superscript"/>
        </w:rPr>
        <w:footnoteReference w:id="1"/>
      </w:r>
      <w:r w:rsidRPr="00AF3936">
        <w:rPr>
          <w:rFonts w:ascii="Arial" w:eastAsia="Arial" w:hAnsi="Arial" w:cs="Arial"/>
          <w:color w:val="000000"/>
          <w:sz w:val="24"/>
          <w:szCs w:val="24"/>
        </w:rPr>
        <w:t xml:space="preserve"> da cuenta a la Magistrada Laura Hortensia Llamas Hernández, con el estado que guardan los autos del expediente citado al rubro, en atención a que en el escrito inicial presentado por la parte recurrente, se advierten dos autoridades diversas a las cuales se dirige su demanda, a saber:</w:t>
      </w:r>
      <w:r w:rsidRPr="00AF3936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i)</w:t>
      </w:r>
      <w:r w:rsidRPr="00AF3936">
        <w:rPr>
          <w:rFonts w:ascii="Arial" w:eastAsia="Arial" w:hAnsi="Arial" w:cs="Arial"/>
          <w:color w:val="000000"/>
          <w:sz w:val="24"/>
          <w:szCs w:val="24"/>
        </w:rPr>
        <w:t xml:space="preserve"> el Tribunal Electoral del Poder Judicial de la Federación</w:t>
      </w:r>
      <w:r w:rsidRPr="00AF3936">
        <w:rPr>
          <w:rFonts w:ascii="Arial" w:eastAsia="Arial" w:hAnsi="Arial" w:cs="Arial"/>
          <w:color w:val="000000"/>
          <w:sz w:val="24"/>
          <w:szCs w:val="24"/>
          <w:vertAlign w:val="superscript"/>
        </w:rPr>
        <w:footnoteReference w:id="2"/>
      </w:r>
      <w:r w:rsidRPr="00AF3936">
        <w:rPr>
          <w:rFonts w:ascii="Arial" w:eastAsia="Arial" w:hAnsi="Arial" w:cs="Arial"/>
          <w:color w:val="000000"/>
          <w:sz w:val="24"/>
          <w:szCs w:val="24"/>
        </w:rPr>
        <w:t xml:space="preserve"> y; </w:t>
      </w:r>
      <w:proofErr w:type="spellStart"/>
      <w:r w:rsidRPr="00AF3936">
        <w:rPr>
          <w:rFonts w:ascii="Arial" w:eastAsia="Arial" w:hAnsi="Arial" w:cs="Arial"/>
          <w:b/>
          <w:i/>
          <w:color w:val="000000"/>
          <w:sz w:val="24"/>
          <w:szCs w:val="24"/>
        </w:rPr>
        <w:t>ii</w:t>
      </w:r>
      <w:proofErr w:type="spellEnd"/>
      <w:r w:rsidRPr="00AF3936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) </w:t>
      </w:r>
      <w:r w:rsidRPr="00AF3936">
        <w:rPr>
          <w:rFonts w:ascii="Arial" w:eastAsia="Arial" w:hAnsi="Arial" w:cs="Arial"/>
          <w:color w:val="000000"/>
          <w:sz w:val="24"/>
          <w:szCs w:val="24"/>
        </w:rPr>
        <w:t>este Órgano Jurisdiccional.</w:t>
      </w:r>
      <w:r w:rsidRPr="00AF3936">
        <w:rPr>
          <w:rFonts w:ascii="Arial" w:eastAsia="Arial" w:hAnsi="Arial" w:cs="Arial"/>
          <w:color w:val="000000"/>
          <w:sz w:val="24"/>
          <w:szCs w:val="24"/>
          <w:vertAlign w:val="superscript"/>
        </w:rPr>
        <w:footnoteReference w:id="3"/>
      </w:r>
      <w:r w:rsidRPr="00AF393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BC476C3" w14:textId="77777777" w:rsidR="009E4379" w:rsidRPr="00AF3936" w:rsidRDefault="009E43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9"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B0CF03B" w14:textId="71ED2E50" w:rsidR="009E4379" w:rsidRPr="00AF393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9"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F3936">
        <w:rPr>
          <w:rFonts w:ascii="Arial" w:eastAsia="Arial" w:hAnsi="Arial" w:cs="Arial"/>
          <w:color w:val="000000"/>
          <w:sz w:val="24"/>
          <w:szCs w:val="24"/>
        </w:rPr>
        <w:t xml:space="preserve">Al respecto, aunque la vía accionada por el partido promovente es el Recurso de Apelación, mismo que es competencia de este Tribunal Electoral, lo cierto es </w:t>
      </w:r>
      <w:r w:rsidR="009030FC" w:rsidRPr="00AF3936">
        <w:rPr>
          <w:rFonts w:ascii="Arial" w:eastAsia="Arial" w:hAnsi="Arial" w:cs="Arial"/>
          <w:color w:val="000000"/>
          <w:sz w:val="24"/>
          <w:szCs w:val="24"/>
        </w:rPr>
        <w:t>que,</w:t>
      </w:r>
      <w:r w:rsidRPr="00AF3936">
        <w:rPr>
          <w:rFonts w:ascii="Arial" w:eastAsia="Arial" w:hAnsi="Arial" w:cs="Arial"/>
          <w:color w:val="000000"/>
          <w:sz w:val="24"/>
          <w:szCs w:val="24"/>
        </w:rPr>
        <w:t xml:space="preserve"> a fin de generar mayor certidumbre a las partes involucradas, así como a las y los operadores de justicia respecto a la voluntad del recurrente </w:t>
      </w:r>
      <w:r w:rsidRPr="00AF3936">
        <w:rPr>
          <w:rFonts w:ascii="Arial" w:eastAsia="Arial" w:hAnsi="Arial" w:cs="Arial"/>
          <w:sz w:val="24"/>
          <w:szCs w:val="24"/>
        </w:rPr>
        <w:t>en relación con</w:t>
      </w:r>
      <w:r w:rsidRPr="00AF3936">
        <w:rPr>
          <w:rFonts w:ascii="Arial" w:eastAsia="Arial" w:hAnsi="Arial" w:cs="Arial"/>
          <w:color w:val="000000"/>
          <w:sz w:val="24"/>
          <w:szCs w:val="24"/>
        </w:rPr>
        <w:t xml:space="preserve"> la autoridad jurisdiccional que pretende conozca su demanda, se estima que es necesario realizar mayores diligencias que conlleven </w:t>
      </w:r>
      <w:r w:rsidRPr="00AF3936">
        <w:rPr>
          <w:rFonts w:ascii="Arial" w:eastAsia="Arial" w:hAnsi="Arial" w:cs="Arial"/>
          <w:sz w:val="24"/>
          <w:szCs w:val="24"/>
        </w:rPr>
        <w:t xml:space="preserve">al </w:t>
      </w:r>
      <w:r w:rsidRPr="00AF3936">
        <w:rPr>
          <w:rFonts w:ascii="Arial" w:eastAsia="Arial" w:hAnsi="Arial" w:cs="Arial"/>
          <w:color w:val="000000"/>
          <w:sz w:val="24"/>
          <w:szCs w:val="24"/>
        </w:rPr>
        <w:t xml:space="preserve">esclarecimiento </w:t>
      </w:r>
      <w:r w:rsidRPr="00AF3936">
        <w:rPr>
          <w:rFonts w:ascii="Arial" w:eastAsia="Arial" w:hAnsi="Arial" w:cs="Arial"/>
          <w:sz w:val="24"/>
          <w:szCs w:val="24"/>
        </w:rPr>
        <w:t>respectivo</w:t>
      </w:r>
      <w:r w:rsidRPr="00AF3936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2A68D5A9" w14:textId="77777777" w:rsidR="009E4379" w:rsidRPr="00AF3936" w:rsidRDefault="009E43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9"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2D98026" w14:textId="61D113D4" w:rsidR="009E4379" w:rsidRPr="00AF393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9"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F3936">
        <w:rPr>
          <w:rFonts w:ascii="Arial" w:eastAsia="Arial" w:hAnsi="Arial" w:cs="Arial"/>
          <w:color w:val="000000"/>
          <w:sz w:val="24"/>
          <w:szCs w:val="24"/>
        </w:rPr>
        <w:t xml:space="preserve">Por ello, con fundamento en lo dispuesto por los artículos </w:t>
      </w:r>
      <w:r w:rsidRPr="00AF3936">
        <w:rPr>
          <w:rFonts w:ascii="Arial" w:eastAsia="Arial" w:hAnsi="Arial" w:cs="Arial"/>
          <w:sz w:val="24"/>
          <w:szCs w:val="24"/>
        </w:rPr>
        <w:t>335</w:t>
      </w:r>
      <w:r w:rsidRPr="00AF3936">
        <w:rPr>
          <w:rFonts w:ascii="Arial" w:eastAsia="Arial" w:hAnsi="Arial" w:cs="Arial"/>
          <w:color w:val="000000"/>
          <w:sz w:val="24"/>
          <w:szCs w:val="24"/>
        </w:rPr>
        <w:t xml:space="preserve">, fracción I, </w:t>
      </w:r>
      <w:r w:rsidRPr="00AF3936">
        <w:rPr>
          <w:rFonts w:ascii="Arial" w:eastAsia="Arial" w:hAnsi="Arial" w:cs="Arial"/>
          <w:sz w:val="24"/>
          <w:szCs w:val="24"/>
        </w:rPr>
        <w:t xml:space="preserve">y 360, fracción II, del Código Electoral del Estado de Aguascalientes, </w:t>
      </w:r>
      <w:r w:rsidRPr="00AF3936">
        <w:rPr>
          <w:rFonts w:ascii="Arial" w:eastAsia="Arial" w:hAnsi="Arial" w:cs="Arial"/>
          <w:color w:val="000000"/>
          <w:sz w:val="24"/>
          <w:szCs w:val="24"/>
        </w:rPr>
        <w:t>así como</w:t>
      </w:r>
      <w:r w:rsidRPr="00AF3936">
        <w:rPr>
          <w:rFonts w:ascii="Arial" w:eastAsia="Arial" w:hAnsi="Arial" w:cs="Arial"/>
          <w:sz w:val="24"/>
          <w:szCs w:val="24"/>
        </w:rPr>
        <w:t xml:space="preserve"> en los diversos 11, fracción I, 20, fracción IV, 32, fracción II, </w:t>
      </w:r>
      <w:r w:rsidRPr="00AF3936">
        <w:rPr>
          <w:rFonts w:ascii="Arial" w:eastAsia="Arial" w:hAnsi="Arial" w:cs="Arial"/>
          <w:color w:val="000000"/>
          <w:sz w:val="24"/>
          <w:szCs w:val="24"/>
        </w:rPr>
        <w:t xml:space="preserve">del Reglamento Interior del Tribunal Electoral del Estado de Aguascalientes, en </w:t>
      </w:r>
      <w:r w:rsidR="00CB7514">
        <w:rPr>
          <w:rFonts w:ascii="Arial" w:eastAsia="Arial" w:hAnsi="Arial" w:cs="Arial"/>
          <w:color w:val="000000"/>
          <w:sz w:val="24"/>
          <w:szCs w:val="24"/>
        </w:rPr>
        <w:t>relación</w:t>
      </w:r>
      <w:r w:rsidRPr="00AF3936">
        <w:rPr>
          <w:rFonts w:ascii="Arial" w:eastAsia="Arial" w:hAnsi="Arial" w:cs="Arial"/>
          <w:color w:val="000000"/>
          <w:sz w:val="24"/>
          <w:szCs w:val="24"/>
        </w:rPr>
        <w:t xml:space="preserve"> al deber </w:t>
      </w:r>
      <w:r w:rsidRPr="00AF3936">
        <w:rPr>
          <w:rFonts w:ascii="Arial" w:eastAsia="Arial" w:hAnsi="Arial" w:cs="Arial"/>
          <w:sz w:val="24"/>
          <w:szCs w:val="24"/>
        </w:rPr>
        <w:t>de los órganos jurisdiccionales de actuar de manera garante,</w:t>
      </w:r>
      <w:r w:rsidRPr="00AF393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F3936">
        <w:rPr>
          <w:rFonts w:ascii="Arial" w:eastAsia="Arial" w:hAnsi="Arial" w:cs="Arial"/>
          <w:b/>
          <w:color w:val="000000"/>
          <w:sz w:val="24"/>
          <w:szCs w:val="24"/>
        </w:rPr>
        <w:t>se acuerda:</w:t>
      </w:r>
    </w:p>
    <w:p w14:paraId="3D15FDC8" w14:textId="77777777" w:rsidR="009E4379" w:rsidRPr="00AF3936" w:rsidRDefault="009E43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9"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FB5C28B" w14:textId="77777777" w:rsidR="009E4379" w:rsidRPr="00AF393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9" w:firstLine="567"/>
        <w:jc w:val="both"/>
        <w:rPr>
          <w:rFonts w:ascii="Arial" w:eastAsia="Arial" w:hAnsi="Arial" w:cs="Arial"/>
          <w:sz w:val="24"/>
          <w:szCs w:val="24"/>
        </w:rPr>
      </w:pPr>
      <w:r w:rsidRPr="00AF3936">
        <w:rPr>
          <w:rFonts w:ascii="Arial" w:eastAsia="Arial" w:hAnsi="Arial" w:cs="Arial"/>
          <w:b/>
          <w:color w:val="000000"/>
          <w:sz w:val="24"/>
          <w:szCs w:val="24"/>
        </w:rPr>
        <w:t xml:space="preserve">Primero. Se requiere </w:t>
      </w:r>
      <w:r w:rsidRPr="00AF3936">
        <w:rPr>
          <w:rFonts w:ascii="Arial" w:eastAsia="Arial" w:hAnsi="Arial" w:cs="Arial"/>
          <w:b/>
          <w:sz w:val="24"/>
          <w:szCs w:val="24"/>
        </w:rPr>
        <w:t>al Partido Acción Nacional</w:t>
      </w:r>
      <w:r w:rsidRPr="00AF3936">
        <w:rPr>
          <w:rFonts w:ascii="Arial" w:eastAsia="Arial" w:hAnsi="Arial" w:cs="Arial"/>
          <w:sz w:val="24"/>
          <w:szCs w:val="24"/>
        </w:rPr>
        <w:t xml:space="preserve">, para que, a través de su representante legal y en un plazo </w:t>
      </w:r>
      <w:r w:rsidRPr="00AF3936">
        <w:rPr>
          <w:rFonts w:ascii="Arial" w:eastAsia="Arial" w:hAnsi="Arial" w:cs="Arial"/>
          <w:b/>
          <w:sz w:val="24"/>
          <w:szCs w:val="24"/>
        </w:rPr>
        <w:t>no mayor a 24 horas</w:t>
      </w:r>
      <w:r w:rsidRPr="00AF3936">
        <w:rPr>
          <w:rFonts w:ascii="Arial" w:eastAsia="Arial" w:hAnsi="Arial" w:cs="Arial"/>
          <w:sz w:val="24"/>
          <w:szCs w:val="24"/>
        </w:rPr>
        <w:t xml:space="preserve"> contadas a partir de que </w:t>
      </w:r>
      <w:r w:rsidRPr="00AF3936">
        <w:rPr>
          <w:rFonts w:ascii="Arial" w:eastAsia="Arial" w:hAnsi="Arial" w:cs="Arial"/>
          <w:sz w:val="24"/>
          <w:szCs w:val="24"/>
        </w:rPr>
        <w:lastRenderedPageBreak/>
        <w:t xml:space="preserve">surta efectos la notificación del presente requerimiento, precise a este Tribunal Electoral, </w:t>
      </w:r>
      <w:r w:rsidRPr="00AF3936">
        <w:rPr>
          <w:rFonts w:ascii="Arial" w:eastAsia="Arial" w:hAnsi="Arial" w:cs="Arial"/>
          <w:b/>
          <w:sz w:val="24"/>
          <w:szCs w:val="24"/>
        </w:rPr>
        <w:t>la autoridad jurisdiccional a la cual dirige su escrito de demanda,</w:t>
      </w:r>
      <w:r w:rsidRPr="00AF3936">
        <w:rPr>
          <w:rFonts w:ascii="Arial" w:eastAsia="Arial" w:hAnsi="Arial" w:cs="Arial"/>
          <w:sz w:val="24"/>
          <w:szCs w:val="24"/>
        </w:rPr>
        <w:t xml:space="preserve"> ello con el objeto de maximizar su derecho a una tutela judicial efectiva, mediante la cual se otorgue un pronunciamiento a la controversia planteada, por el órgano resolutor que el mismo hubiese electo. </w:t>
      </w:r>
    </w:p>
    <w:p w14:paraId="4AF4FCA7" w14:textId="77777777" w:rsidR="009E4379" w:rsidRPr="00AF3936" w:rsidRDefault="009E43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9" w:firstLine="567"/>
        <w:jc w:val="both"/>
        <w:rPr>
          <w:rFonts w:ascii="Arial" w:eastAsia="Arial" w:hAnsi="Arial" w:cs="Arial"/>
          <w:sz w:val="24"/>
          <w:szCs w:val="24"/>
        </w:rPr>
      </w:pPr>
    </w:p>
    <w:p w14:paraId="338D6850" w14:textId="77777777" w:rsidR="009E4379" w:rsidRPr="00AF393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9" w:firstLine="567"/>
        <w:jc w:val="both"/>
        <w:rPr>
          <w:rFonts w:ascii="Arial" w:eastAsia="Arial" w:hAnsi="Arial" w:cs="Arial"/>
          <w:sz w:val="24"/>
          <w:szCs w:val="24"/>
        </w:rPr>
      </w:pPr>
      <w:r w:rsidRPr="00AF3936">
        <w:rPr>
          <w:rFonts w:ascii="Arial" w:eastAsia="Arial" w:hAnsi="Arial" w:cs="Arial"/>
          <w:sz w:val="24"/>
          <w:szCs w:val="24"/>
        </w:rPr>
        <w:t>Lo anterior, bajo el apercibimiento que, de no hacerlo, el presente asunto se resolverá conforme a la vía precisada, esto es, el Recurso de Apelación establecido en el artículo 335 del Código Electoral Local.</w:t>
      </w:r>
    </w:p>
    <w:p w14:paraId="52E79024" w14:textId="77777777" w:rsidR="009E4379" w:rsidRPr="00AF3936" w:rsidRDefault="009E43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8918F12" w14:textId="77777777" w:rsidR="009E4379" w:rsidRPr="00AF3936" w:rsidRDefault="00000000">
      <w:pPr>
        <w:pStyle w:val="Ttulo1"/>
        <w:spacing w:before="16"/>
        <w:ind w:left="0" w:right="49"/>
      </w:pPr>
      <w:r w:rsidRPr="00AF3936">
        <w:t>NOTÍFIQUESE.</w:t>
      </w:r>
    </w:p>
    <w:p w14:paraId="232A5EC9" w14:textId="77777777" w:rsidR="009E4379" w:rsidRPr="00AF3936" w:rsidRDefault="009E43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after="0" w:line="240" w:lineRule="auto"/>
        <w:ind w:right="49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83162B" w14:textId="77777777" w:rsidR="009E4379" w:rsidRPr="00AF393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9"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F3936">
        <w:rPr>
          <w:rFonts w:ascii="Arial" w:eastAsia="Arial" w:hAnsi="Arial" w:cs="Arial"/>
          <w:color w:val="000000"/>
          <w:sz w:val="24"/>
          <w:szCs w:val="24"/>
        </w:rPr>
        <w:t>Así lo acordó y firma la Magistrada Laura Hortensia Llamas Hernández, en presencia de la encargada de despacho de la Secretaría de Estudio, Ivonne Azucena Zavala Soto, quien da fe.</w:t>
      </w:r>
    </w:p>
    <w:p w14:paraId="5EF63E98" w14:textId="77777777" w:rsidR="009E4379" w:rsidRPr="00AF3936" w:rsidRDefault="009E43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9"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CC384B" w14:textId="75B3864E" w:rsidR="009E4379" w:rsidRPr="00AF3936" w:rsidRDefault="009E43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rPr>
          <w:rFonts w:ascii="Arial" w:eastAsia="Arial" w:hAnsi="Arial" w:cs="Arial"/>
          <w:color w:val="000000"/>
          <w:sz w:val="24"/>
          <w:szCs w:val="24"/>
        </w:rPr>
      </w:pPr>
    </w:p>
    <w:p w14:paraId="60985E60" w14:textId="4C526E34" w:rsidR="009E4379" w:rsidRPr="00AF3936" w:rsidRDefault="009E43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rPr>
          <w:rFonts w:ascii="Arial" w:eastAsia="Arial" w:hAnsi="Arial" w:cs="Arial"/>
          <w:color w:val="000000"/>
          <w:sz w:val="24"/>
          <w:szCs w:val="24"/>
        </w:rPr>
      </w:pPr>
    </w:p>
    <w:p w14:paraId="50696D81" w14:textId="77777777" w:rsidR="009E4379" w:rsidRPr="00AF3936" w:rsidRDefault="009E43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after="0" w:line="240" w:lineRule="auto"/>
        <w:ind w:right="49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6744" w:type="dxa"/>
        <w:jc w:val="center"/>
        <w:tblLayout w:type="fixed"/>
        <w:tblLook w:val="0000" w:firstRow="0" w:lastRow="0" w:firstColumn="0" w:lastColumn="0" w:noHBand="0" w:noVBand="0"/>
      </w:tblPr>
      <w:tblGrid>
        <w:gridCol w:w="3298"/>
        <w:gridCol w:w="3446"/>
      </w:tblGrid>
      <w:tr w:rsidR="009E4379" w:rsidRPr="00AF3936" w14:paraId="6A98C8D7" w14:textId="77777777">
        <w:trPr>
          <w:trHeight w:val="548"/>
          <w:jc w:val="center"/>
        </w:trPr>
        <w:tc>
          <w:tcPr>
            <w:tcW w:w="3298" w:type="dxa"/>
          </w:tcPr>
          <w:p w14:paraId="779AC587" w14:textId="77777777" w:rsidR="009E4379" w:rsidRPr="00AF39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F393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LAURA HORTENSIA</w:t>
            </w:r>
          </w:p>
          <w:p w14:paraId="0798B9D1" w14:textId="77777777" w:rsidR="009E4379" w:rsidRPr="00AF39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4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F393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LLAMAS HERNÁNDEZ</w:t>
            </w:r>
          </w:p>
        </w:tc>
        <w:tc>
          <w:tcPr>
            <w:tcW w:w="3446" w:type="dxa"/>
          </w:tcPr>
          <w:p w14:paraId="091D3E74" w14:textId="77777777" w:rsidR="009E4379" w:rsidRPr="00AF39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F393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IVONNE AZUCENA </w:t>
            </w:r>
          </w:p>
          <w:p w14:paraId="41F18C1B" w14:textId="77777777" w:rsidR="009E4379" w:rsidRPr="00AF39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F393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ZAVALA SOTO </w:t>
            </w:r>
          </w:p>
        </w:tc>
      </w:tr>
      <w:tr w:rsidR="009E4379" w:rsidRPr="00AF3936" w14:paraId="62E2C74F" w14:textId="77777777">
        <w:trPr>
          <w:trHeight w:val="272"/>
          <w:jc w:val="center"/>
        </w:trPr>
        <w:tc>
          <w:tcPr>
            <w:tcW w:w="3298" w:type="dxa"/>
          </w:tcPr>
          <w:p w14:paraId="025DC291" w14:textId="77777777" w:rsidR="009E4379" w:rsidRPr="00AF39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4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F393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MAGISTRADA</w:t>
            </w:r>
          </w:p>
        </w:tc>
        <w:tc>
          <w:tcPr>
            <w:tcW w:w="3446" w:type="dxa"/>
          </w:tcPr>
          <w:p w14:paraId="61FDDBB6" w14:textId="77777777" w:rsidR="009E4379" w:rsidRPr="00AF39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4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F393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SECRETARIA</w:t>
            </w:r>
          </w:p>
        </w:tc>
      </w:tr>
    </w:tbl>
    <w:p w14:paraId="31050BA6" w14:textId="77777777" w:rsidR="009E4379" w:rsidRPr="00AF3936" w:rsidRDefault="009E4379">
      <w:pPr>
        <w:tabs>
          <w:tab w:val="right" w:pos="8931"/>
        </w:tabs>
        <w:spacing w:after="0" w:line="360" w:lineRule="auto"/>
        <w:ind w:right="49"/>
        <w:jc w:val="both"/>
        <w:rPr>
          <w:rFonts w:ascii="Arial" w:eastAsia="Arial" w:hAnsi="Arial" w:cs="Arial"/>
          <w:b/>
          <w:sz w:val="24"/>
          <w:szCs w:val="24"/>
        </w:rPr>
      </w:pPr>
    </w:p>
    <w:p w14:paraId="299CB300" w14:textId="77777777" w:rsidR="009E4379" w:rsidRPr="00AF3936" w:rsidRDefault="009E4379">
      <w:pPr>
        <w:spacing w:line="36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</w:p>
    <w:sectPr w:rsidR="009E4379" w:rsidRPr="00AF3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283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298F" w14:textId="77777777" w:rsidR="00F86B89" w:rsidRDefault="00F86B89">
      <w:pPr>
        <w:spacing w:after="0" w:line="240" w:lineRule="auto"/>
      </w:pPr>
      <w:r>
        <w:separator/>
      </w:r>
    </w:p>
  </w:endnote>
  <w:endnote w:type="continuationSeparator" w:id="0">
    <w:p w14:paraId="398F2064" w14:textId="77777777" w:rsidR="00F86B89" w:rsidRDefault="00F8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6D3F" w14:textId="77777777" w:rsidR="00D96B3D" w:rsidRDefault="00D96B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ED00" w14:textId="77777777" w:rsidR="009E4379" w:rsidRDefault="009E43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  <w:p w14:paraId="2335E68E" w14:textId="77777777" w:rsidR="009E4379" w:rsidRDefault="009E43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248F" w14:textId="77777777" w:rsidR="00D96B3D" w:rsidRDefault="00D96B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83832" w14:textId="77777777" w:rsidR="00F86B89" w:rsidRDefault="00F86B89">
      <w:pPr>
        <w:spacing w:after="0" w:line="240" w:lineRule="auto"/>
      </w:pPr>
      <w:r>
        <w:separator/>
      </w:r>
    </w:p>
  </w:footnote>
  <w:footnote w:type="continuationSeparator" w:id="0">
    <w:p w14:paraId="29C6971D" w14:textId="77777777" w:rsidR="00F86B89" w:rsidRDefault="00F86B89">
      <w:pPr>
        <w:spacing w:after="0" w:line="240" w:lineRule="auto"/>
      </w:pPr>
      <w:r>
        <w:continuationSeparator/>
      </w:r>
    </w:p>
  </w:footnote>
  <w:footnote w:id="1">
    <w:p w14:paraId="27C2AAA8" w14:textId="77777777" w:rsidR="009E4379" w:rsidRPr="00AF3936" w:rsidRDefault="00000000" w:rsidP="00AF3936">
      <w:pPr>
        <w:spacing w:before="102" w:after="0"/>
        <w:jc w:val="both"/>
        <w:rPr>
          <w:rFonts w:ascii="Arial" w:hAnsi="Arial" w:cs="Arial"/>
          <w:sz w:val="20"/>
          <w:szCs w:val="20"/>
        </w:rPr>
      </w:pPr>
      <w:r w:rsidRPr="00AF3936">
        <w:rPr>
          <w:rFonts w:ascii="Arial" w:hAnsi="Arial" w:cs="Arial"/>
          <w:sz w:val="20"/>
          <w:szCs w:val="20"/>
          <w:vertAlign w:val="superscript"/>
        </w:rPr>
        <w:footnoteRef/>
      </w:r>
      <w:r w:rsidRPr="00AF3936">
        <w:rPr>
          <w:rFonts w:ascii="Arial" w:hAnsi="Arial" w:cs="Arial"/>
          <w:sz w:val="20"/>
          <w:szCs w:val="20"/>
        </w:rPr>
        <w:t xml:space="preserve"> </w:t>
      </w:r>
      <w:r w:rsidRPr="00AF3936">
        <w:rPr>
          <w:rFonts w:ascii="Arial" w:eastAsia="Arial" w:hAnsi="Arial" w:cs="Arial"/>
          <w:sz w:val="20"/>
          <w:szCs w:val="20"/>
        </w:rPr>
        <w:t>Encargada de despacho de la Secretaría de Estudio de la Ponencia II.</w:t>
      </w:r>
    </w:p>
  </w:footnote>
  <w:footnote w:id="2">
    <w:p w14:paraId="7219AECB" w14:textId="77777777" w:rsidR="009E4379" w:rsidRPr="00AF3936" w:rsidRDefault="00000000" w:rsidP="00AF39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3936">
        <w:rPr>
          <w:rFonts w:ascii="Arial" w:hAnsi="Arial" w:cs="Arial"/>
          <w:sz w:val="20"/>
          <w:szCs w:val="20"/>
          <w:vertAlign w:val="superscript"/>
        </w:rPr>
        <w:footnoteRef/>
      </w:r>
      <w:r w:rsidRPr="00AF3936">
        <w:rPr>
          <w:rFonts w:ascii="Arial" w:hAnsi="Arial" w:cs="Arial"/>
          <w:sz w:val="20"/>
          <w:szCs w:val="20"/>
        </w:rPr>
        <w:t xml:space="preserve"> “[...] </w:t>
      </w:r>
      <w:r w:rsidRPr="00AF3936">
        <w:rPr>
          <w:rFonts w:ascii="Arial" w:hAnsi="Arial" w:cs="Arial"/>
          <w:i/>
          <w:sz w:val="20"/>
          <w:szCs w:val="20"/>
        </w:rPr>
        <w:t xml:space="preserve">VI) PRESENTARSE ANTE LA AUTORIDAD U ÓRGANO RESPONSABLE DEL ACTO O RESOLUCIÓN IMPUGNADO. Se presenta ante el Consejo General del Instituto Estatal Electoral de Aguascalientes, con la intención de que el mismo sea remitido de manera inmediata al </w:t>
      </w:r>
      <w:r w:rsidRPr="00AF3936">
        <w:rPr>
          <w:rFonts w:ascii="Arial" w:hAnsi="Arial" w:cs="Arial"/>
          <w:b/>
          <w:i/>
          <w:sz w:val="20"/>
          <w:szCs w:val="20"/>
        </w:rPr>
        <w:t>Tribunal Electoral del Poder Judicial de la Federación</w:t>
      </w:r>
      <w:r w:rsidRPr="00AF3936">
        <w:rPr>
          <w:rFonts w:ascii="Arial" w:hAnsi="Arial" w:cs="Arial"/>
          <w:i/>
          <w:sz w:val="20"/>
          <w:szCs w:val="20"/>
        </w:rPr>
        <w:t>, para su debida resolución. [...]</w:t>
      </w:r>
      <w:r w:rsidRPr="00AF3936">
        <w:rPr>
          <w:rFonts w:ascii="Arial" w:hAnsi="Arial" w:cs="Arial"/>
          <w:sz w:val="20"/>
          <w:szCs w:val="20"/>
        </w:rPr>
        <w:t xml:space="preserve">”, visible en la página 3 de su escrito de demanda. </w:t>
      </w:r>
    </w:p>
  </w:footnote>
  <w:footnote w:id="3">
    <w:p w14:paraId="5E5391B0" w14:textId="77777777" w:rsidR="009E4379" w:rsidRDefault="00000000" w:rsidP="00AF3936">
      <w:pPr>
        <w:spacing w:after="0" w:line="240" w:lineRule="auto"/>
        <w:jc w:val="both"/>
        <w:rPr>
          <w:sz w:val="20"/>
          <w:szCs w:val="20"/>
        </w:rPr>
      </w:pPr>
      <w:r w:rsidRPr="00AF3936">
        <w:rPr>
          <w:rFonts w:ascii="Arial" w:hAnsi="Arial" w:cs="Arial"/>
          <w:sz w:val="20"/>
          <w:szCs w:val="20"/>
          <w:vertAlign w:val="superscript"/>
        </w:rPr>
        <w:footnoteRef/>
      </w:r>
      <w:r w:rsidRPr="00AF3936">
        <w:rPr>
          <w:rFonts w:ascii="Arial" w:hAnsi="Arial" w:cs="Arial"/>
          <w:sz w:val="20"/>
          <w:szCs w:val="20"/>
        </w:rPr>
        <w:t xml:space="preserve"> “[...] </w:t>
      </w:r>
      <w:r w:rsidRPr="00AF3936">
        <w:rPr>
          <w:rFonts w:ascii="Arial" w:hAnsi="Arial" w:cs="Arial"/>
          <w:i/>
          <w:sz w:val="20"/>
          <w:szCs w:val="20"/>
        </w:rPr>
        <w:t xml:space="preserve">Por lo expuesto y fundado, a esta Honorable </w:t>
      </w:r>
      <w:r w:rsidRPr="00AF3936">
        <w:rPr>
          <w:rFonts w:ascii="Arial" w:hAnsi="Arial" w:cs="Arial"/>
          <w:b/>
          <w:i/>
          <w:sz w:val="20"/>
          <w:szCs w:val="20"/>
        </w:rPr>
        <w:t>Tribunal Electoral del Estado de Aguascalientes</w:t>
      </w:r>
      <w:r w:rsidRPr="00AF3936">
        <w:rPr>
          <w:rFonts w:ascii="Arial" w:hAnsi="Arial" w:cs="Arial"/>
          <w:i/>
          <w:sz w:val="20"/>
          <w:szCs w:val="20"/>
        </w:rPr>
        <w:t xml:space="preserve">, atentamente solicito: </w:t>
      </w:r>
      <w:r w:rsidRPr="00AF3936">
        <w:rPr>
          <w:rFonts w:ascii="Arial" w:hAnsi="Arial" w:cs="Arial"/>
          <w:sz w:val="20"/>
          <w:szCs w:val="20"/>
        </w:rPr>
        <w:t>[...]”, visible en la página 23 de su escrito de demanda.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20C9" w14:textId="77777777" w:rsidR="00D96B3D" w:rsidRDefault="00D96B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846E" w14:textId="488454EC" w:rsidR="009E4379" w:rsidRDefault="00D96B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103"/>
      </w:tabs>
      <w:spacing w:after="0" w:line="240" w:lineRule="auto"/>
      <w:rPr>
        <w:rFonts w:ascii="Century Gothic" w:eastAsia="Century Gothic" w:hAnsi="Century Gothic" w:cs="Century Gothic"/>
        <w:color w:val="000000"/>
      </w:rPr>
    </w:pPr>
    <w:sdt>
      <w:sdtPr>
        <w:rPr>
          <w:rFonts w:ascii="Century Gothic" w:eastAsia="Century Gothic" w:hAnsi="Century Gothic" w:cs="Century Gothic"/>
          <w:color w:val="000000"/>
        </w:rPr>
        <w:id w:val="-12927972"/>
        <w:docPartObj>
          <w:docPartGallery w:val="Watermarks"/>
          <w:docPartUnique/>
        </w:docPartObj>
      </w:sdtPr>
      <w:sdtContent>
        <w:r w:rsidRPr="00D96B3D">
          <w:rPr>
            <w:rFonts w:ascii="Century Gothic" w:eastAsia="Century Gothic" w:hAnsi="Century Gothic" w:cs="Century Gothic"/>
            <w:color w:val="000000"/>
          </w:rPr>
          <w:pict w14:anchorId="1AB45B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46011220" o:spid="_x0000_s1025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ARA CONSULTA"/>
              <w10:wrap anchorx="margin" anchory="margin"/>
            </v:shape>
          </w:pict>
        </w:r>
      </w:sdtContent>
    </w:sdt>
    <w:sdt>
      <w:sdtPr>
        <w:rPr>
          <w:rFonts w:ascii="Century Gothic" w:eastAsia="Century Gothic" w:hAnsi="Century Gothic" w:cs="Century Gothic"/>
          <w:color w:val="000000"/>
        </w:rPr>
        <w:id w:val="-894121579"/>
        <w:docPartObj>
          <w:docPartGallery w:val="Page Numbers (Margins)"/>
          <w:docPartUnique/>
        </w:docPartObj>
      </w:sdtPr>
      <w:sdtContent>
        <w:r w:rsidR="00AF3936" w:rsidRPr="00AF3936">
          <w:rPr>
            <w:rFonts w:ascii="Century Gothic" w:eastAsia="Century Gothic" w:hAnsi="Century Gothic" w:cs="Century Gothic"/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E072E32" wp14:editId="14C42E3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017678734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74843B68" w14:textId="77777777" w:rsidR="00AF3936" w:rsidRDefault="00AF393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E072E3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74843B68" w14:textId="77777777" w:rsidR="00AF3936" w:rsidRDefault="00AF393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F3936">
      <w:rPr>
        <w:noProof/>
      </w:rPr>
      <w:drawing>
        <wp:anchor distT="0" distB="0" distL="0" distR="0" simplePos="0" relativeHeight="251658240" behindDoc="0" locked="0" layoutInCell="1" hidden="0" allowOverlap="1" wp14:anchorId="4A44908C" wp14:editId="436A18B6">
          <wp:simplePos x="0" y="0"/>
          <wp:positionH relativeFrom="column">
            <wp:posOffset>0</wp:posOffset>
          </wp:positionH>
          <wp:positionV relativeFrom="paragraph">
            <wp:posOffset>-1006</wp:posOffset>
          </wp:positionV>
          <wp:extent cx="1043796" cy="128533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796" cy="1285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6B5E7B" w14:textId="77777777" w:rsidR="009E4379" w:rsidRDefault="009E43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103"/>
      </w:tabs>
      <w:spacing w:after="0" w:line="240" w:lineRule="auto"/>
      <w:rPr>
        <w:rFonts w:ascii="Century Gothic" w:eastAsia="Century Gothic" w:hAnsi="Century Gothic" w:cs="Century Gothic"/>
        <w:color w:val="000000"/>
      </w:rPr>
    </w:pPr>
  </w:p>
  <w:p w14:paraId="2E146B74" w14:textId="77777777" w:rsidR="009E4379" w:rsidRDefault="009E43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103"/>
      </w:tabs>
      <w:spacing w:after="0" w:line="240" w:lineRule="auto"/>
      <w:rPr>
        <w:rFonts w:ascii="Century Gothic" w:eastAsia="Century Gothic" w:hAnsi="Century Gothic" w:cs="Century Gothic"/>
        <w:color w:val="000000"/>
      </w:rPr>
    </w:pPr>
  </w:p>
  <w:p w14:paraId="606B01A7" w14:textId="77777777" w:rsidR="009E43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103"/>
      </w:tabs>
      <w:spacing w:after="0" w:line="240" w:lineRule="auto"/>
      <w:rPr>
        <w:rFonts w:ascii="Century Gothic" w:eastAsia="Century Gothic" w:hAnsi="Century Gothic" w:cs="Century Gothic"/>
        <w:b/>
        <w:color w:val="000000"/>
      </w:rPr>
    </w:pPr>
    <w:r>
      <w:rPr>
        <w:rFonts w:ascii="Century Gothic" w:eastAsia="Century Gothic" w:hAnsi="Century Gothic" w:cs="Century Gothic"/>
        <w:color w:val="000000"/>
      </w:rPr>
      <w:t xml:space="preserve">                                                                                  </w:t>
    </w:r>
  </w:p>
  <w:p w14:paraId="042B4C92" w14:textId="77777777" w:rsidR="009E43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entury Gothic" w:eastAsia="Century Gothic" w:hAnsi="Century Gothic" w:cs="Century Gothic"/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ab/>
    </w:r>
    <w:r>
      <w:rPr>
        <w:rFonts w:ascii="Century Gothic" w:eastAsia="Century Gothic" w:hAnsi="Century Gothic" w:cs="Century Gothic"/>
        <w:b/>
        <w:color w:val="000000"/>
      </w:rPr>
      <w:tab/>
    </w:r>
  </w:p>
  <w:p w14:paraId="0C253BE8" w14:textId="77777777" w:rsidR="009E4379" w:rsidRDefault="009E43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</w:rPr>
    </w:pPr>
  </w:p>
  <w:p w14:paraId="0B77F5F9" w14:textId="77777777" w:rsidR="009E43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</w:rPr>
    </w:pPr>
    <w:r>
      <w:rPr>
        <w:rFonts w:ascii="Century Gothic" w:eastAsia="Century Gothic" w:hAnsi="Century Gothic" w:cs="Century Gothic"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842CD64" wp14:editId="15CE55EA">
              <wp:simplePos x="0" y="0"/>
              <wp:positionH relativeFrom="rightMargin">
                <wp:posOffset>153988</wp:posOffset>
              </wp:positionH>
              <wp:positionV relativeFrom="margin">
                <wp:align>center</wp:align>
              </wp:positionV>
              <wp:extent cx="771525" cy="904875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65000" y="3332325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B21922" w14:textId="4316786B" w:rsidR="009E4379" w:rsidRDefault="009E437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42CD64" id="Rectángulo 3" o:spid="_x0000_s1027" style="position:absolute;left:0;text-align:left;margin-left:12.15pt;margin-top:0;width:60.75pt;height:71.25pt;z-index:251659264;visibility:visible;mso-wrap-style:square;mso-wrap-distance-left:9pt;mso-wrap-distance-top:0;mso-wrap-distance-right:9pt;mso-wrap-distance-bottom:0;mso-position-horizontal:absolute;mso-position-horizontal-relative:right-margin-area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" stroked="f">
              <v:textbox inset="2.53958mm,1.2694mm,2.53958mm,1.2694mm">
                <w:txbxContent>
                  <w:p w14:paraId="3DB21922" w14:textId="4316786B" w:rsidR="009E4379" w:rsidRDefault="009E4379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D146" w14:textId="77777777" w:rsidR="00D96B3D" w:rsidRDefault="00D96B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79"/>
    <w:rsid w:val="00226BBA"/>
    <w:rsid w:val="007A6E8A"/>
    <w:rsid w:val="009030FC"/>
    <w:rsid w:val="009E4379"/>
    <w:rsid w:val="00A07ED3"/>
    <w:rsid w:val="00AF3936"/>
    <w:rsid w:val="00CB7514"/>
    <w:rsid w:val="00D96B3D"/>
    <w:rsid w:val="00F8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7ED45"/>
  <w15:docId w15:val="{AFCF9737-73BC-4FEE-BC72-928BDD96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873"/>
    <w:rPr>
      <w:rFonts w:cs="Times New Roman"/>
    </w:rPr>
  </w:style>
  <w:style w:type="paragraph" w:styleId="Ttulo1">
    <w:name w:val="heading 1"/>
    <w:basedOn w:val="Normal"/>
    <w:link w:val="Ttulo1Car"/>
    <w:uiPriority w:val="9"/>
    <w:qFormat/>
    <w:rsid w:val="006F661D"/>
    <w:pPr>
      <w:widowControl w:val="0"/>
      <w:autoSpaceDE w:val="0"/>
      <w:autoSpaceDN w:val="0"/>
      <w:spacing w:after="0" w:line="240" w:lineRule="auto"/>
      <w:ind w:left="153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268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87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268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873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026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F661D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0">
    <w:name w:val="Table Normal"/>
    <w:uiPriority w:val="2"/>
    <w:semiHidden/>
    <w:unhideWhenUsed/>
    <w:qFormat/>
    <w:rsid w:val="006F66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F66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661D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6F661D"/>
    <w:pPr>
      <w:widowControl w:val="0"/>
      <w:autoSpaceDE w:val="0"/>
      <w:autoSpaceDN w:val="0"/>
      <w:spacing w:after="0" w:line="240" w:lineRule="auto"/>
      <w:ind w:left="831" w:right="1094" w:firstLine="708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6F661D"/>
    <w:pPr>
      <w:widowControl w:val="0"/>
      <w:autoSpaceDE w:val="0"/>
      <w:autoSpaceDN w:val="0"/>
      <w:spacing w:after="0" w:line="252" w:lineRule="exact"/>
      <w:ind w:left="624"/>
    </w:pPr>
    <w:rPr>
      <w:rFonts w:ascii="Arial" w:eastAsia="Arial" w:hAnsi="Arial"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0D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0DF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0DF8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ZqJsOu5U92MPIPnA1AHNSd1lIQ==">CgMxLjA4AHIhMXhxUXpuNXd3NlJqNkhHM2pVN0VKcUFaV0REbWxJNWxr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Lic. Miroslava Rocha</cp:lastModifiedBy>
  <cp:revision>2</cp:revision>
  <cp:lastPrinted>2024-04-17T21:48:00Z</cp:lastPrinted>
  <dcterms:created xsi:type="dcterms:W3CDTF">2024-04-17T21:53:00Z</dcterms:created>
  <dcterms:modified xsi:type="dcterms:W3CDTF">2024-04-17T21:53:00Z</dcterms:modified>
</cp:coreProperties>
</file>